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50" w:rsidRDefault="00C11436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173D50" w:rsidRDefault="00173D50">
      <w:pPr>
        <w:rPr>
          <w:rFonts w:ascii="DejaVu Sans" w:hAnsi="DejaVu Sans"/>
          <w:b/>
          <w:bCs/>
        </w:rPr>
      </w:pPr>
    </w:p>
    <w:p w:rsidR="00173D50" w:rsidRDefault="00C11436">
      <w:r>
        <w:rPr>
          <w:rFonts w:ascii="DejaVu Sans" w:hAnsi="DejaVu Sans"/>
          <w:b/>
          <w:bCs/>
        </w:rPr>
        <w:t>FINANCE REPORT TO 30 APRIL 2021</w:t>
      </w:r>
    </w:p>
    <w:p w:rsidR="00173D50" w:rsidRDefault="00173D50">
      <w:pPr>
        <w:rPr>
          <w:rFonts w:ascii="DejaVu Sans" w:hAnsi="DejaVu Sans"/>
          <w:b/>
          <w:bCs/>
        </w:rPr>
      </w:pPr>
    </w:p>
    <w:p w:rsidR="00173D50" w:rsidRDefault="00173D50">
      <w:pPr>
        <w:rPr>
          <w:rFonts w:ascii="DejaVu Sans" w:hAnsi="DejaVu Sans"/>
        </w:rPr>
      </w:pPr>
    </w:p>
    <w:p w:rsidR="00173D50" w:rsidRDefault="00C11436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2021/2022 is £9,984.</w:t>
      </w:r>
    </w:p>
    <w:p w:rsidR="00173D50" w:rsidRDefault="00173D50">
      <w:pPr>
        <w:rPr>
          <w:rFonts w:ascii="DejaVu Sans" w:hAnsi="DejaVu Sans"/>
        </w:rPr>
      </w:pPr>
    </w:p>
    <w:p w:rsidR="00173D50" w:rsidRDefault="00C11436">
      <w:pPr>
        <w:rPr>
          <w:rFonts w:ascii="DejaVu Sans" w:hAnsi="DejaVu Sans"/>
        </w:rPr>
      </w:pPr>
      <w:r>
        <w:rPr>
          <w:rFonts w:ascii="DejaVu Sans" w:hAnsi="DejaVu Sans"/>
        </w:rPr>
        <w:t>2. The first tranche of the precept (£4,992) was received during April.</w:t>
      </w:r>
    </w:p>
    <w:p w:rsidR="00173D50" w:rsidRDefault="00173D50">
      <w:pPr>
        <w:rPr>
          <w:rFonts w:ascii="DejaVu Sans" w:hAnsi="DejaVu Sans"/>
        </w:rPr>
      </w:pPr>
    </w:p>
    <w:p w:rsidR="00173D50" w:rsidRDefault="00C11436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30 April 2021, precept-related expenditure was expected to be £64.</w:t>
      </w:r>
    </w:p>
    <w:p w:rsidR="00173D50" w:rsidRDefault="00173D50">
      <w:pPr>
        <w:rPr>
          <w:rFonts w:ascii="DejaVu Sans" w:hAnsi="DejaVu Sans"/>
        </w:rPr>
      </w:pPr>
    </w:p>
    <w:p w:rsidR="00173D50" w:rsidRDefault="00C11436">
      <w:r>
        <w:rPr>
          <w:rFonts w:ascii="DejaVu Sans" w:hAnsi="DejaVu Sans"/>
        </w:rPr>
        <w:t>4.</w:t>
      </w:r>
      <w:r>
        <w:rPr>
          <w:rFonts w:ascii="DejaVu Sans" w:hAnsi="DejaVu Sans"/>
        </w:rPr>
        <w:t xml:space="preserve">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30 April 2021, net precept-related expenditure was actually -£136. It was negative because of a receipt from HMRC in the form of reclaimed VAT. The details can be found in the attached report.</w:t>
      </w:r>
    </w:p>
    <w:p w:rsidR="00173D50" w:rsidRDefault="00173D50">
      <w:pPr>
        <w:rPr>
          <w:rFonts w:ascii="DejaVu Sans" w:hAnsi="DejaVu Sans"/>
        </w:rPr>
      </w:pPr>
    </w:p>
    <w:p w:rsidR="00173D50" w:rsidRDefault="00C11436">
      <w:r>
        <w:rPr>
          <w:rFonts w:ascii="DejaVu Sans" w:hAnsi="DejaVu Sans"/>
        </w:rPr>
        <w:t>5. At 30 April 2021, total reserves stood at £53,666 (comp</w:t>
      </w:r>
      <w:r>
        <w:rPr>
          <w:rFonts w:ascii="DejaVu Sans" w:hAnsi="DejaVu Sans"/>
        </w:rPr>
        <w:t>ared to £48,216 at 31 March 2021) of which £36,019 related to earmarked reserves. Again, the details can be found in the attached report.</w:t>
      </w:r>
    </w:p>
    <w:p w:rsidR="00173D50" w:rsidRDefault="00173D50">
      <w:pPr>
        <w:rPr>
          <w:rFonts w:ascii="DejaVu Sans" w:hAnsi="DejaVu Sans"/>
        </w:rPr>
      </w:pPr>
    </w:p>
    <w:sectPr w:rsidR="00173D5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50"/>
    <w:rsid w:val="00173D50"/>
    <w:rsid w:val="00C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2021-05-03T08:22:00Z</dcterms:created>
  <dcterms:modified xsi:type="dcterms:W3CDTF">2021-05-03T08:22:00Z</dcterms:modified>
  <dc:language>en-GB</dc:language>
</cp:coreProperties>
</file>