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>ASHBURY PARISH COUNCIL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  <w:b/>
          <w:bCs/>
        </w:rPr>
        <w:t>FINANCE REPORT TO 30 JUNE 2022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1. The Parish precept for 2022/2023 is £14,536.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2. The first tranche of the precept (£7,268) was received during April.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/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3. To 30 June 2022, precept-related expenditure was expected to be £3,367.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4. To 30 June 202</w:t>
      </w:r>
      <w:r>
        <w:rPr>
          <w:rFonts w:ascii="DejaVu Sans" w:hAnsi="DejaVu Sans"/>
        </w:rPr>
        <w:t>2</w:t>
      </w:r>
      <w:r>
        <w:rPr>
          <w:rFonts w:ascii="DejaVu Sans" w:hAnsi="DejaVu Sans"/>
        </w:rPr>
        <w:t>, precept-related expenditure was actually £1,</w:t>
      </w:r>
      <w:r>
        <w:rPr>
          <w:rFonts w:ascii="DejaVu Sans" w:hAnsi="DejaVu Sans"/>
        </w:rPr>
        <w:t>951</w:t>
      </w:r>
      <w:r>
        <w:rPr>
          <w:rFonts w:ascii="DejaVu Sans" w:hAnsi="DejaVu Sans"/>
        </w:rPr>
        <w:t xml:space="preserve">. The underspend was mainly due to </w:t>
      </w:r>
      <w:r>
        <w:rPr>
          <w:rFonts w:ascii="DejaVu Sans" w:hAnsi="DejaVu Sans"/>
        </w:rPr>
        <w:t>no costs having been incurred to date in relation to the work undertaken on the website, and the new laptop not having been bought yet.</w:t>
      </w:r>
      <w:r>
        <w:rPr>
          <w:rFonts w:ascii="DejaVu Sans" w:hAnsi="DejaVu Sans"/>
        </w:rPr>
        <w:t xml:space="preserve">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5. At 30 June 2022, total reserves stood at £52,816 (compared to £46,840 at 31 March 2022) of which £35,459 related to earmarked reserves. Again,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/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LibreOffice/7.2.5.1$Linux_X86_64 LibreOffice_project/20$Build-1</Application>
  <AppVersion>15.0000</AppVersion>
  <Pages>1</Pages>
  <Words>125</Words>
  <Characters>606</Characters>
  <CharactersWithSpaces>724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2020-05-01T11:22:13Z</dcterms:created>
  <dc:creator/>
  <dc:description/>
  <dc:language>en-GB</dc:language>
  <cp:lastModifiedBy/>
  <dcterms:modified xsi:type="dcterms:W3CDTF">2022-07-28T14:33:08Z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